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6E3E" w14:textId="109DE1E4" w:rsidR="00AC69E1" w:rsidRDefault="00AC69E1" w:rsidP="009844D1">
      <w:pPr>
        <w:ind w:left="7080" w:firstLine="708"/>
        <w:jc w:val="both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 xml:space="preserve">Warszawa, </w:t>
      </w:r>
      <w:r w:rsidR="009844D1">
        <w:rPr>
          <w:rFonts w:ascii="Poppins" w:hAnsi="Poppins" w:cs="Poppins"/>
          <w:b/>
          <w:bCs/>
          <w:sz w:val="20"/>
          <w:szCs w:val="20"/>
        </w:rPr>
        <w:t>02</w:t>
      </w:r>
      <w:r>
        <w:rPr>
          <w:rFonts w:ascii="Poppins" w:hAnsi="Poppins" w:cs="Poppins"/>
          <w:b/>
          <w:bCs/>
          <w:sz w:val="20"/>
          <w:szCs w:val="20"/>
        </w:rPr>
        <w:t>.</w:t>
      </w:r>
      <w:r w:rsidR="009844D1">
        <w:rPr>
          <w:rFonts w:ascii="Poppins" w:hAnsi="Poppins" w:cs="Poppins"/>
          <w:b/>
          <w:bCs/>
          <w:sz w:val="20"/>
          <w:szCs w:val="20"/>
        </w:rPr>
        <w:t>12</w:t>
      </w:r>
      <w:r>
        <w:rPr>
          <w:rFonts w:ascii="Poppins" w:hAnsi="Poppins" w:cs="Poppins"/>
          <w:b/>
          <w:bCs/>
          <w:sz w:val="20"/>
          <w:szCs w:val="20"/>
        </w:rPr>
        <w:t>.202</w:t>
      </w:r>
      <w:r w:rsidR="002D244C">
        <w:rPr>
          <w:rFonts w:ascii="Poppins" w:hAnsi="Poppins" w:cs="Poppins"/>
          <w:b/>
          <w:bCs/>
          <w:sz w:val="20"/>
          <w:szCs w:val="20"/>
        </w:rPr>
        <w:t>4</w:t>
      </w:r>
      <w:r>
        <w:rPr>
          <w:rFonts w:ascii="Poppins" w:hAnsi="Poppins" w:cs="Poppins"/>
          <w:b/>
          <w:bCs/>
          <w:sz w:val="20"/>
          <w:szCs w:val="20"/>
        </w:rPr>
        <w:t xml:space="preserve"> r.</w:t>
      </w:r>
    </w:p>
    <w:p w14:paraId="427E1844" w14:textId="36770E68" w:rsidR="00AC69E1" w:rsidRDefault="00AC69E1" w:rsidP="009844D1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765947">
        <w:rPr>
          <w:rFonts w:ascii="Poppins" w:hAnsi="Poppins" w:cs="Poppins"/>
          <w:b/>
          <w:bCs/>
          <w:sz w:val="20"/>
          <w:szCs w:val="20"/>
        </w:rPr>
        <w:t>Autor: RynekPierwotny.pl</w:t>
      </w:r>
    </w:p>
    <w:p w14:paraId="017D589B" w14:textId="59A9B103" w:rsidR="004647DF" w:rsidRPr="00C84F8D" w:rsidRDefault="004647DF" w:rsidP="00C84F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</w:pPr>
      <w:r w:rsidRPr="00C84F8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 xml:space="preserve">Ceny ofertowe nowych mieszkań – </w:t>
      </w:r>
      <w:r w:rsidR="009844D1" w:rsidRPr="00C84F8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>listopad</w:t>
      </w:r>
      <w:r w:rsidR="002D244C" w:rsidRPr="00C84F8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 xml:space="preserve"> </w:t>
      </w:r>
      <w:r w:rsidRPr="00C84F8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>202</w:t>
      </w:r>
      <w:r w:rsidR="00BA0C8F" w:rsidRPr="00C84F8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>4</w:t>
      </w:r>
      <w:r w:rsidRPr="00C84F8D">
        <w:rPr>
          <w:rFonts w:ascii="Poppins" w:eastAsia="Times New Roman" w:hAnsi="Poppins" w:cs="Poppins"/>
          <w:b/>
          <w:bCs/>
          <w:color w:val="23232D"/>
          <w:kern w:val="36"/>
          <w:sz w:val="36"/>
          <w:szCs w:val="36"/>
          <w:lang w:eastAsia="pl-PL"/>
        </w:rPr>
        <w:t xml:space="preserve"> (wstępne dane)</w:t>
      </w:r>
    </w:p>
    <w:p w14:paraId="2F976FFA" w14:textId="6404421B" w:rsidR="000A2E75" w:rsidRDefault="00FF6936" w:rsidP="009844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b/>
          <w:bCs/>
          <w:color w:val="23232D"/>
          <w:lang w:eastAsia="pl-PL"/>
        </w:rPr>
      </w:pPr>
      <w:r>
        <w:rPr>
          <w:rFonts w:ascii="Poppins" w:eastAsia="Times New Roman" w:hAnsi="Poppins" w:cs="Poppins"/>
          <w:b/>
          <w:bCs/>
          <w:color w:val="23232D"/>
          <w:lang w:eastAsia="pl-PL"/>
        </w:rPr>
        <w:t>W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</w:t>
      </w:r>
      <w:r w:rsidR="009844D1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listopadzie </w:t>
      </w:r>
      <w:r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średnia cena metra kwadratowego </w:t>
      </w:r>
      <w:r w:rsidR="009844D1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nowych </w:t>
      </w:r>
      <w:r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mieszkań </w:t>
      </w:r>
      <w:r w:rsidR="009844D1">
        <w:rPr>
          <w:rFonts w:ascii="Poppins" w:eastAsia="Times New Roman" w:hAnsi="Poppins" w:cs="Poppins"/>
          <w:b/>
          <w:bCs/>
          <w:color w:val="23232D"/>
          <w:lang w:eastAsia="pl-PL"/>
        </w:rPr>
        <w:t>w Trójmieście wzrosła aż o 4%, przekraczając pułap 16 tys. zł</w:t>
      </w:r>
      <w:r w:rsidR="00C84F8D">
        <w:rPr>
          <w:rFonts w:ascii="Poppins" w:eastAsia="Times New Roman" w:hAnsi="Poppins" w:cs="Poppins"/>
          <w:b/>
          <w:bCs/>
          <w:color w:val="23232D"/>
          <w:lang w:eastAsia="pl-PL"/>
        </w:rPr>
        <w:t>.</w:t>
      </w:r>
      <w:r w:rsidR="009844D1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Podrożały one również w Poznaniu i w miastach Górnośląsko-Zagłębiowskiej Metropolii. Z kolei w Warszawie i Łodzi średnia poszła w dół, zaś w Krakowie i Wrocławiu utrzymała poziom z października </w:t>
      </w:r>
      <w:r w:rsidR="004647DF" w:rsidRPr="004647DF">
        <w:rPr>
          <w:rFonts w:ascii="Poppins" w:eastAsia="Times New Roman" w:hAnsi="Poppins" w:cs="Poppins"/>
          <w:b/>
          <w:bCs/>
          <w:color w:val="23232D"/>
          <w:lang w:eastAsia="pl-PL"/>
        </w:rPr>
        <w:t>– wynika ze wstępnych danych BIG DATA RynekPierwotny.pl.</w:t>
      </w:r>
    </w:p>
    <w:p w14:paraId="777469C3" w14:textId="77777777" w:rsidR="00FC42A6" w:rsidRPr="00142A90" w:rsidRDefault="009844D1" w:rsidP="009844D1">
      <w:pPr>
        <w:jc w:val="both"/>
        <w:rPr>
          <w:rFonts w:ascii="Poppins" w:hAnsi="Poppins" w:cs="Poppins"/>
          <w:sz w:val="21"/>
          <w:szCs w:val="21"/>
          <w:lang w:eastAsia="pl-PL"/>
        </w:rPr>
      </w:pPr>
      <w:r w:rsidRPr="00142A90">
        <w:rPr>
          <w:rFonts w:ascii="Poppins" w:hAnsi="Poppins" w:cs="Poppins"/>
          <w:sz w:val="21"/>
          <w:szCs w:val="21"/>
          <w:lang w:eastAsia="pl-PL"/>
        </w:rPr>
        <w:t xml:space="preserve">Listopad po raz kolejny pokazał, że </w:t>
      </w:r>
      <w:r w:rsidR="00584EF8" w:rsidRPr="00142A90">
        <w:rPr>
          <w:rFonts w:ascii="Poppins" w:hAnsi="Poppins" w:cs="Poppins"/>
          <w:sz w:val="21"/>
          <w:szCs w:val="21"/>
          <w:lang w:eastAsia="pl-PL"/>
        </w:rPr>
        <w:t>rynk</w:t>
      </w:r>
      <w:r w:rsidRPr="00142A90">
        <w:rPr>
          <w:rFonts w:ascii="Poppins" w:hAnsi="Poppins" w:cs="Poppins"/>
          <w:sz w:val="21"/>
          <w:szCs w:val="21"/>
          <w:lang w:eastAsia="pl-PL"/>
        </w:rPr>
        <w:t>ów</w:t>
      </w:r>
      <w:r w:rsidR="00584EF8" w:rsidRPr="00142A90">
        <w:rPr>
          <w:rFonts w:ascii="Poppins" w:hAnsi="Poppins" w:cs="Poppins"/>
          <w:sz w:val="21"/>
          <w:szCs w:val="21"/>
          <w:lang w:eastAsia="pl-PL"/>
        </w:rPr>
        <w:t xml:space="preserve"> mieszkaniowych największych miast </w:t>
      </w:r>
      <w:r w:rsidRPr="00142A90">
        <w:rPr>
          <w:rFonts w:ascii="Poppins" w:hAnsi="Poppins" w:cs="Poppins"/>
          <w:sz w:val="21"/>
          <w:szCs w:val="21"/>
          <w:lang w:eastAsia="pl-PL"/>
        </w:rPr>
        <w:t xml:space="preserve">nie można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>traktować jednakową miarą</w:t>
      </w:r>
      <w:r w:rsidR="00C84F8D" w:rsidRPr="00142A90">
        <w:rPr>
          <w:rFonts w:ascii="Poppins" w:hAnsi="Poppins" w:cs="Poppins"/>
          <w:sz w:val="21"/>
          <w:szCs w:val="21"/>
          <w:lang w:eastAsia="pl-PL"/>
        </w:rPr>
        <w:t xml:space="preserve">. </w:t>
      </w:r>
    </w:p>
    <w:p w14:paraId="167B8FE1" w14:textId="528946F8" w:rsidR="005463BD" w:rsidRPr="00142A90" w:rsidRDefault="00C84F8D" w:rsidP="009844D1">
      <w:pPr>
        <w:jc w:val="both"/>
        <w:rPr>
          <w:rFonts w:ascii="Poppins" w:hAnsi="Poppins" w:cs="Poppins"/>
          <w:sz w:val="21"/>
          <w:szCs w:val="21"/>
          <w:lang w:eastAsia="pl-PL"/>
        </w:rPr>
      </w:pPr>
      <w:r w:rsidRPr="00142A90">
        <w:rPr>
          <w:rFonts w:ascii="Poppins" w:hAnsi="Poppins" w:cs="Poppins"/>
          <w:sz w:val="21"/>
          <w:szCs w:val="21"/>
          <w:lang w:eastAsia="pl-PL"/>
        </w:rPr>
        <w:t>W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 xml:space="preserve"> ostatnich tygodniach mo</w:t>
      </w:r>
      <w:r w:rsidRPr="00142A90">
        <w:rPr>
          <w:rFonts w:ascii="Poppins" w:hAnsi="Poppins" w:cs="Poppins"/>
          <w:sz w:val="21"/>
          <w:szCs w:val="21"/>
          <w:lang w:eastAsia="pl-PL"/>
        </w:rPr>
        <w:t>żna było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 xml:space="preserve">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>za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>obserwować prawdziwy wysyp różnego rodzaju promocji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. </w:t>
      </w:r>
      <w:r w:rsidRPr="00142A90">
        <w:rPr>
          <w:rFonts w:ascii="Poppins" w:hAnsi="Poppins" w:cs="Poppins"/>
          <w:sz w:val="21"/>
          <w:szCs w:val="21"/>
          <w:lang w:eastAsia="pl-PL"/>
        </w:rPr>
        <w:t>Tym samym m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ożna więc </w:t>
      </w:r>
      <w:r w:rsidR="00BB142D" w:rsidRPr="00142A90">
        <w:rPr>
          <w:rFonts w:ascii="Poppins" w:hAnsi="Poppins" w:cs="Poppins"/>
          <w:sz w:val="21"/>
          <w:szCs w:val="21"/>
          <w:lang w:eastAsia="pl-PL"/>
        </w:rPr>
        <w:t xml:space="preserve">było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>odnieść wrażenie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 xml:space="preserve">,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że 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>mieszka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>nia wreszcie zaczęły tanieć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 xml:space="preserve">.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Tymczasem w listopadzie 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 xml:space="preserve">ich średnia cena metra kwadratowego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poszybowała w górę 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>aż o 4%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 w Trójmieście (</w:t>
      </w:r>
      <w:r w:rsidR="00B15F6C" w:rsidRPr="00142A90">
        <w:rPr>
          <w:rFonts w:ascii="Poppins" w:hAnsi="Poppins" w:cs="Poppins"/>
          <w:sz w:val="21"/>
          <w:szCs w:val="21"/>
          <w:lang w:eastAsia="pl-PL"/>
        </w:rPr>
        <w:t>do blisko 16,2 tys. zł/m kw.)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, </w:t>
      </w:r>
      <w:r w:rsidR="00B15F6C" w:rsidRPr="00142A90">
        <w:rPr>
          <w:rFonts w:ascii="Poppins" w:hAnsi="Poppins" w:cs="Poppins"/>
          <w:sz w:val="21"/>
          <w:szCs w:val="21"/>
          <w:lang w:eastAsia="pl-PL"/>
        </w:rPr>
        <w:t xml:space="preserve">o 2%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w Górnośląsko-Zagłębiowskiej Metropolii </w:t>
      </w:r>
      <w:r w:rsidR="00B15F6C" w:rsidRPr="00142A90">
        <w:rPr>
          <w:rFonts w:ascii="Poppins" w:hAnsi="Poppins" w:cs="Poppins"/>
          <w:sz w:val="21"/>
          <w:szCs w:val="21"/>
          <w:lang w:eastAsia="pl-PL"/>
        </w:rPr>
        <w:t xml:space="preserve">(ok. 11,2 tys. zł/m kw.) i o 1% w </w:t>
      </w:r>
      <w:r w:rsidR="00F05206" w:rsidRPr="00142A90">
        <w:rPr>
          <w:rFonts w:ascii="Poppins" w:hAnsi="Poppins" w:cs="Poppins"/>
          <w:sz w:val="21"/>
          <w:szCs w:val="21"/>
          <w:lang w:eastAsia="pl-PL"/>
        </w:rPr>
        <w:t xml:space="preserve">Poznaniu </w:t>
      </w:r>
      <w:r w:rsidR="00B15F6C" w:rsidRPr="00142A90">
        <w:rPr>
          <w:rFonts w:ascii="Poppins" w:hAnsi="Poppins" w:cs="Poppins"/>
          <w:sz w:val="21"/>
          <w:szCs w:val="21"/>
          <w:lang w:eastAsia="pl-PL"/>
        </w:rPr>
        <w:t>(12,3 tys. zł/m kw.)</w:t>
      </w:r>
      <w:r w:rsidR="005463BD" w:rsidRPr="00142A90">
        <w:rPr>
          <w:rFonts w:ascii="Poppins" w:hAnsi="Poppins" w:cs="Poppins"/>
          <w:sz w:val="21"/>
          <w:szCs w:val="21"/>
          <w:lang w:eastAsia="pl-PL"/>
        </w:rPr>
        <w:t xml:space="preserve">. </w:t>
      </w:r>
    </w:p>
    <w:p w14:paraId="7A03D2AD" w14:textId="7C95E291" w:rsidR="00B15F6C" w:rsidRPr="00142A90" w:rsidRDefault="005463BD" w:rsidP="00B15F6C">
      <w:pPr>
        <w:jc w:val="both"/>
        <w:rPr>
          <w:rFonts w:ascii="Poppins" w:hAnsi="Poppins" w:cs="Poppins"/>
          <w:sz w:val="21"/>
          <w:szCs w:val="21"/>
          <w:lang w:eastAsia="pl-PL"/>
        </w:rPr>
      </w:pPr>
      <w:r w:rsidRPr="00142A90">
        <w:rPr>
          <w:rFonts w:ascii="Poppins" w:hAnsi="Poppins" w:cs="Poppins"/>
          <w:sz w:val="21"/>
          <w:szCs w:val="21"/>
          <w:lang w:eastAsia="pl-PL"/>
        </w:rPr>
        <w:t xml:space="preserve">– </w:t>
      </w:r>
      <w:r w:rsidR="00B15F6C" w:rsidRPr="00142A90">
        <w:rPr>
          <w:rFonts w:ascii="Poppins" w:hAnsi="Poppins" w:cs="Poppins"/>
          <w:i/>
          <w:iCs/>
          <w:sz w:val="21"/>
          <w:szCs w:val="21"/>
          <w:lang w:eastAsia="pl-PL"/>
        </w:rPr>
        <w:t>Oczywiście t</w:t>
      </w:r>
      <w:r w:rsidR="00F05206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o nie oznacza, że deweloperzy o tyle podnieśli ceny </w:t>
      </w:r>
      <w:r w:rsidR="00B15F6C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oferowanych </w:t>
      </w:r>
      <w:r w:rsidR="00F05206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mieszkań. </w:t>
      </w:r>
      <w:r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Od dawna zwracam uwagę, że </w:t>
      </w:r>
      <w:r w:rsidR="00F05206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w skali miesiąca </w:t>
      </w:r>
      <w:r w:rsidR="00B15F6C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ich </w:t>
      </w:r>
      <w:r w:rsidR="00F05206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średnia cena metra kwadratowego może gwałtownie wzrosnąć, jeśli na rynek trafi pula drogich </w:t>
      </w:r>
      <w:r w:rsidR="00B15F6C" w:rsidRPr="00142A90">
        <w:rPr>
          <w:rFonts w:ascii="Poppins" w:hAnsi="Poppins" w:cs="Poppins"/>
          <w:i/>
          <w:iCs/>
          <w:sz w:val="21"/>
          <w:szCs w:val="21"/>
          <w:lang w:eastAsia="pl-PL"/>
        </w:rPr>
        <w:t xml:space="preserve">– jak na dany rynek – </w:t>
      </w:r>
      <w:r w:rsidR="00F05206" w:rsidRPr="00142A90">
        <w:rPr>
          <w:rFonts w:ascii="Poppins" w:hAnsi="Poppins" w:cs="Poppins"/>
          <w:i/>
          <w:iCs/>
          <w:sz w:val="21"/>
          <w:szCs w:val="21"/>
          <w:lang w:eastAsia="pl-PL"/>
        </w:rPr>
        <w:t>lokali</w:t>
      </w:r>
      <w:r w:rsidR="00B15F6C" w:rsidRPr="00142A90">
        <w:rPr>
          <w:rFonts w:ascii="Poppins" w:hAnsi="Poppins" w:cs="Poppins"/>
          <w:sz w:val="21"/>
          <w:szCs w:val="21"/>
          <w:lang w:eastAsia="pl-PL"/>
        </w:rPr>
        <w:t xml:space="preserve"> – wyjaśnia Marek </w:t>
      </w:r>
      <w:proofErr w:type="spellStart"/>
      <w:r w:rsidR="00B15F6C" w:rsidRPr="00142A90">
        <w:rPr>
          <w:rFonts w:ascii="Poppins" w:hAnsi="Poppins" w:cs="Poppins"/>
          <w:sz w:val="21"/>
          <w:szCs w:val="21"/>
          <w:lang w:eastAsia="pl-PL"/>
        </w:rPr>
        <w:t>Wielgo</w:t>
      </w:r>
      <w:proofErr w:type="spellEnd"/>
      <w:r w:rsidR="00C84F8D" w:rsidRPr="00142A90">
        <w:rPr>
          <w:rFonts w:ascii="Poppins" w:hAnsi="Poppins" w:cs="Poppins"/>
          <w:sz w:val="21"/>
          <w:szCs w:val="21"/>
          <w:lang w:eastAsia="pl-PL"/>
        </w:rPr>
        <w:t xml:space="preserve">, ekspert portalu </w:t>
      </w:r>
      <w:hyperlink r:id="rId8" w:history="1">
        <w:r w:rsidR="00C84F8D" w:rsidRPr="00142A90">
          <w:rPr>
            <w:rStyle w:val="Hipercze"/>
            <w:rFonts w:ascii="Poppins" w:hAnsi="Poppins" w:cs="Poppins"/>
            <w:sz w:val="21"/>
            <w:szCs w:val="21"/>
            <w:lang w:eastAsia="pl-PL"/>
          </w:rPr>
          <w:t>RynekPierwotny.pl</w:t>
        </w:r>
      </w:hyperlink>
      <w:r w:rsidR="00B15F6C" w:rsidRPr="00142A90">
        <w:rPr>
          <w:rFonts w:ascii="Poppins" w:hAnsi="Poppins" w:cs="Poppins"/>
          <w:sz w:val="21"/>
          <w:szCs w:val="21"/>
          <w:lang w:eastAsia="pl-PL"/>
        </w:rPr>
        <w:t xml:space="preserve">. </w:t>
      </w:r>
    </w:p>
    <w:p w14:paraId="2EEBFEC4" w14:textId="5C9F662A" w:rsidR="00B15F6C" w:rsidRPr="00142A90" w:rsidRDefault="00B15F6C" w:rsidP="00B15F6C">
      <w:pPr>
        <w:jc w:val="both"/>
        <w:rPr>
          <w:rFonts w:ascii="Poppins" w:hAnsi="Poppins" w:cs="Poppins"/>
          <w:sz w:val="21"/>
          <w:szCs w:val="21"/>
          <w:lang w:eastAsia="pl-PL"/>
        </w:rPr>
      </w:pPr>
      <w:r w:rsidRPr="00142A90">
        <w:rPr>
          <w:rFonts w:ascii="Poppins" w:hAnsi="Poppins" w:cs="Poppins"/>
          <w:sz w:val="21"/>
          <w:szCs w:val="21"/>
          <w:lang w:eastAsia="pl-PL"/>
        </w:rPr>
        <w:t>W listopadzie przykładem tego jest zwłaszcza Trójmiasto</w:t>
      </w:r>
      <w:r w:rsidR="00EA140F" w:rsidRPr="00142A90">
        <w:rPr>
          <w:rFonts w:ascii="Poppins" w:hAnsi="Poppins" w:cs="Poppins"/>
          <w:sz w:val="21"/>
          <w:szCs w:val="21"/>
          <w:lang w:eastAsia="pl-PL"/>
        </w:rPr>
        <w:t xml:space="preserve"> (Gdańsk)</w:t>
      </w:r>
      <w:r w:rsidRPr="00142A90">
        <w:rPr>
          <w:rFonts w:ascii="Poppins" w:hAnsi="Poppins" w:cs="Poppins"/>
          <w:sz w:val="21"/>
          <w:szCs w:val="21"/>
          <w:lang w:eastAsia="pl-PL"/>
        </w:rPr>
        <w:t xml:space="preserve">, gdzie – jak wskazują wstępne dane BIG DATA RynekPierwotny.pl – deweloperzy wprowadzili do sprzedaży mieszkania po średnio 22,2 tys. zł za metr. Z kolei w Górnośląsko-Zagłębiowskiej Metropolii, a ściślej w Katowicach na rynku pojawiły się nowe inwestycje, w których uśredniona cena mieszkań w przeliczeniu na metr kwadratowy przekracza 13 tys. zł. Najwyraźniej w obu tych metropoliach deweloperzy </w:t>
      </w:r>
      <w:r w:rsidR="00EA140F" w:rsidRPr="00142A90">
        <w:rPr>
          <w:rFonts w:ascii="Poppins" w:hAnsi="Poppins" w:cs="Poppins"/>
          <w:sz w:val="21"/>
          <w:szCs w:val="21"/>
          <w:lang w:eastAsia="pl-PL"/>
        </w:rPr>
        <w:t xml:space="preserve">liczą na </w:t>
      </w:r>
      <w:r w:rsidR="00C84F8D" w:rsidRPr="00142A90">
        <w:rPr>
          <w:rFonts w:ascii="Poppins" w:hAnsi="Poppins" w:cs="Poppins"/>
          <w:sz w:val="21"/>
          <w:szCs w:val="21"/>
          <w:lang w:eastAsia="pl-PL"/>
        </w:rPr>
        <w:t xml:space="preserve">zamożnych </w:t>
      </w:r>
      <w:r w:rsidR="00EA140F" w:rsidRPr="00142A90">
        <w:rPr>
          <w:rFonts w:ascii="Poppins" w:hAnsi="Poppins" w:cs="Poppins"/>
          <w:sz w:val="21"/>
          <w:szCs w:val="21"/>
          <w:lang w:eastAsia="pl-PL"/>
        </w:rPr>
        <w:t>klientów</w:t>
      </w:r>
      <w:r w:rsidR="00C84F8D" w:rsidRPr="00142A90">
        <w:rPr>
          <w:rFonts w:ascii="Poppins" w:hAnsi="Poppins" w:cs="Poppins"/>
          <w:sz w:val="21"/>
          <w:szCs w:val="21"/>
          <w:lang w:eastAsia="pl-PL"/>
        </w:rPr>
        <w:t>.</w:t>
      </w:r>
    </w:p>
    <w:p w14:paraId="25C81ECF" w14:textId="477FE18E" w:rsidR="005E3521" w:rsidRPr="00142A90" w:rsidRDefault="00EA140F" w:rsidP="009844D1">
      <w:pPr>
        <w:jc w:val="both"/>
        <w:rPr>
          <w:rFonts w:ascii="Poppins" w:hAnsi="Poppins" w:cs="Poppins"/>
          <w:sz w:val="21"/>
          <w:szCs w:val="21"/>
          <w:lang w:eastAsia="pl-PL"/>
        </w:rPr>
      </w:pPr>
      <w:r w:rsidRPr="00142A90">
        <w:rPr>
          <w:rFonts w:ascii="Poppins" w:hAnsi="Poppins" w:cs="Poppins"/>
          <w:sz w:val="21"/>
          <w:szCs w:val="21"/>
          <w:lang w:eastAsia="pl-PL"/>
        </w:rPr>
        <w:t xml:space="preserve">Na przeciwnym biegunie są Warszawa (ok. 17,7 tys. zł/m kw.) i Łódź (niespełna 11,5 tys. zł/m kw.), gdzie w listopadzie średnia cena metra kwadratowego mieszkań oferowanych przez deweloperów spadła o 1%. </w:t>
      </w:r>
    </w:p>
    <w:p w14:paraId="1C3E1CD8" w14:textId="2EBBABF5" w:rsidR="00584EF8" w:rsidRPr="00142A90" w:rsidRDefault="00CF2FD5" w:rsidP="009844D1">
      <w:pPr>
        <w:jc w:val="both"/>
        <w:rPr>
          <w:rFonts w:ascii="Poppins" w:eastAsia="Times New Roman" w:hAnsi="Poppins" w:cs="Poppins"/>
          <w:color w:val="23232D"/>
          <w:sz w:val="21"/>
          <w:szCs w:val="21"/>
          <w:lang w:eastAsia="pl-PL"/>
        </w:rPr>
      </w:pPr>
      <w:r w:rsidRPr="00142A90">
        <w:rPr>
          <w:rFonts w:ascii="Poppins" w:hAnsi="Poppins" w:cs="Poppins"/>
          <w:sz w:val="21"/>
          <w:szCs w:val="21"/>
          <w:lang w:eastAsia="pl-PL"/>
        </w:rPr>
        <w:t xml:space="preserve">Wstępne dane wskazują, że </w:t>
      </w:r>
      <w:r w:rsidR="003C1270" w:rsidRPr="00142A90">
        <w:rPr>
          <w:rFonts w:ascii="Poppins" w:hAnsi="Poppins" w:cs="Poppins"/>
          <w:sz w:val="21"/>
          <w:szCs w:val="21"/>
          <w:lang w:eastAsia="pl-PL"/>
        </w:rPr>
        <w:t xml:space="preserve">Wrocław był w listopadzie </w:t>
      </w:r>
      <w:r w:rsidRPr="00142A90">
        <w:rPr>
          <w:rFonts w:ascii="Poppins" w:hAnsi="Poppins" w:cs="Poppins"/>
          <w:sz w:val="21"/>
          <w:szCs w:val="21"/>
          <w:lang w:eastAsia="pl-PL"/>
        </w:rPr>
        <w:t xml:space="preserve">prawdopodobnie </w:t>
      </w:r>
      <w:r w:rsidR="003C1270" w:rsidRPr="00142A90">
        <w:rPr>
          <w:rFonts w:ascii="Poppins" w:hAnsi="Poppins" w:cs="Poppins"/>
          <w:sz w:val="21"/>
          <w:szCs w:val="21"/>
          <w:lang w:eastAsia="pl-PL"/>
        </w:rPr>
        <w:t xml:space="preserve">jedyną metropolią, w której sprzedaż nowych mieszkań przewyższyła podaż. Mimo to średnia cena metra kwadratowego we Wrocławiu (ok. 14,6 tys. zł/m kw.) nie zmieniła się już drugi miesiąc z rzędu. Z kolei w Krakowie (ok. 16,4 tys. zł/ m kw.) stabilizacja cenowa trwa już od </w:t>
      </w:r>
      <w:r w:rsidRPr="00142A90">
        <w:rPr>
          <w:rFonts w:ascii="Poppins" w:hAnsi="Poppins" w:cs="Poppins"/>
          <w:sz w:val="21"/>
          <w:szCs w:val="21"/>
          <w:lang w:eastAsia="pl-PL"/>
        </w:rPr>
        <w:t xml:space="preserve">pół roku. Także w listopadzie </w:t>
      </w:r>
      <w:r w:rsidR="00E13551" w:rsidRPr="00142A90">
        <w:rPr>
          <w:rFonts w:ascii="Poppins" w:hAnsi="Poppins" w:cs="Poppins"/>
          <w:sz w:val="21"/>
          <w:szCs w:val="21"/>
          <w:lang w:eastAsia="pl-PL"/>
        </w:rPr>
        <w:t>średn</w:t>
      </w:r>
      <w:r w:rsidR="00584EF8" w:rsidRPr="00142A90">
        <w:rPr>
          <w:rFonts w:ascii="Poppins" w:hAnsi="Poppins" w:cs="Poppins"/>
          <w:sz w:val="21"/>
          <w:szCs w:val="21"/>
          <w:lang w:eastAsia="pl-PL"/>
        </w:rPr>
        <w:t>i</w:t>
      </w:r>
      <w:r w:rsidR="00E13551" w:rsidRPr="00142A90">
        <w:rPr>
          <w:rFonts w:ascii="Poppins" w:hAnsi="Poppins" w:cs="Poppins"/>
          <w:sz w:val="21"/>
          <w:szCs w:val="21"/>
          <w:lang w:eastAsia="pl-PL"/>
        </w:rPr>
        <w:t>a</w:t>
      </w:r>
      <w:r w:rsidR="00584EF8" w:rsidRPr="00142A90">
        <w:rPr>
          <w:rFonts w:ascii="Poppins" w:hAnsi="Poppins" w:cs="Poppins"/>
          <w:sz w:val="21"/>
          <w:szCs w:val="21"/>
          <w:lang w:eastAsia="pl-PL"/>
        </w:rPr>
        <w:t xml:space="preserve"> </w:t>
      </w:r>
      <w:r w:rsidRPr="00142A90">
        <w:rPr>
          <w:rFonts w:ascii="Poppins" w:hAnsi="Poppins" w:cs="Poppins"/>
          <w:sz w:val="21"/>
          <w:szCs w:val="21"/>
          <w:lang w:eastAsia="pl-PL"/>
        </w:rPr>
        <w:t>w przeliczeniu na metr kwadratowy utrzymała poziom z poprzedniego miesiąca</w:t>
      </w:r>
      <w:r w:rsidR="00E13551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.</w:t>
      </w:r>
      <w:r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</w:t>
      </w:r>
    </w:p>
    <w:p w14:paraId="7AC78216" w14:textId="774FDEB5" w:rsidR="00EA140F" w:rsidRPr="00142A90" w:rsidRDefault="00EA140F" w:rsidP="00CA2658">
      <w:pPr>
        <w:jc w:val="center"/>
        <w:rPr>
          <w:rFonts w:ascii="Poppins" w:eastAsia="Times New Roman" w:hAnsi="Poppins" w:cs="Poppins"/>
          <w:color w:val="23232D"/>
          <w:sz w:val="21"/>
          <w:szCs w:val="21"/>
          <w:lang w:eastAsia="pl-PL"/>
        </w:rPr>
      </w:pPr>
      <w:r w:rsidRPr="00142A90">
        <w:rPr>
          <w:rFonts w:ascii="Poppins" w:eastAsia="Times New Roman" w:hAnsi="Poppins" w:cs="Poppins"/>
          <w:noProof/>
          <w:color w:val="23232D"/>
          <w:sz w:val="21"/>
          <w:szCs w:val="21"/>
          <w:lang w:eastAsia="pl-PL"/>
        </w:rPr>
        <w:lastRenderedPageBreak/>
        <w:drawing>
          <wp:inline distT="0" distB="0" distL="0" distR="0" wp14:anchorId="40DD09A3" wp14:editId="301C80E4">
            <wp:extent cx="5669280" cy="3149360"/>
            <wp:effectExtent l="0" t="0" r="7620" b="0"/>
            <wp:docPr id="157892938" name="Obraz 2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2938" name="Obraz 2" descr="Obraz zawierający tekst, zrzut ekranu, Czcionka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11" cy="315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89C1" w14:textId="1070754A" w:rsidR="00FC55EE" w:rsidRPr="00142A90" w:rsidRDefault="00C84F8D" w:rsidP="00BB14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z w:val="21"/>
          <w:szCs w:val="21"/>
          <w:shd w:val="clear" w:color="auto" w:fill="FFFFFF"/>
        </w:rPr>
      </w:pPr>
      <w:r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W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</w:t>
      </w:r>
      <w:r w:rsidR="00FC55EE" w:rsidRPr="00142A90">
        <w:rPr>
          <w:rFonts w:ascii="Poppins" w:hAnsi="Poppins" w:cs="Poppins"/>
          <w:color w:val="23232D"/>
          <w:sz w:val="21"/>
          <w:szCs w:val="21"/>
        </w:rPr>
        <w:t xml:space="preserve">wyścigu o miano </w:t>
      </w:r>
      <w:r w:rsidR="00FC55EE" w:rsidRPr="00142A90">
        <w:rPr>
          <w:rFonts w:ascii="Poppins" w:hAnsi="Poppins" w:cs="Poppins"/>
          <w:sz w:val="21"/>
          <w:szCs w:val="21"/>
          <w:shd w:val="clear" w:color="auto" w:fill="FFFFFF"/>
        </w:rPr>
        <w:t>tegorocznego lidera podwyżek</w:t>
      </w:r>
      <w:r w:rsidR="00BB142D" w:rsidRPr="00142A90">
        <w:rPr>
          <w:rFonts w:ascii="Poppins" w:hAnsi="Poppins" w:cs="Poppins"/>
          <w:sz w:val="21"/>
          <w:szCs w:val="21"/>
          <w:shd w:val="clear" w:color="auto" w:fill="FFFFFF"/>
        </w:rPr>
        <w:t xml:space="preserve"> wciąż p</w:t>
      </w:r>
      <w:r w:rsidR="00FC55EE" w:rsidRPr="00142A90">
        <w:rPr>
          <w:rFonts w:ascii="Poppins" w:hAnsi="Poppins" w:cs="Poppins"/>
          <w:sz w:val="21"/>
          <w:szCs w:val="21"/>
          <w:shd w:val="clear" w:color="auto" w:fill="FFFFFF"/>
        </w:rPr>
        <w:t>rowadzi Wrocław, gdzie o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d początku roku średnia cena metra kwadratowego wzrosła o 1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2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%. Łódź z podwyżką 10% zajmuje drugie miejsce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, a n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a najniższym stopniu podium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są </w:t>
      </w:r>
      <w:r w:rsidR="00BB142D" w:rsidRPr="00142A90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>ex aequo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Poznań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i Trójmiasto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. Podwyżka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w tych metropoliach 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wyniosła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8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%. Z kolei w Warszawie i Krakowie średnia poszła w górę o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5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%, a </w:t>
      </w:r>
      <w:r w:rsidR="00FC55EE" w:rsidRPr="00142A90">
        <w:rPr>
          <w:rFonts w:ascii="Poppins" w:hAnsi="Poppins" w:cs="Poppins"/>
          <w:sz w:val="21"/>
          <w:szCs w:val="21"/>
          <w:shd w:val="clear" w:color="auto" w:fill="FFFFFF"/>
        </w:rPr>
        <w:t xml:space="preserve">Górnośląsko-Zagłębiowskiej Metropoli 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– o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6</w:t>
      </w:r>
      <w:r w:rsidR="00FC55E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%</w:t>
      </w:r>
      <w:r w:rsidR="00FC55EE" w:rsidRPr="00142A90">
        <w:rPr>
          <w:rFonts w:ascii="Poppins" w:hAnsi="Poppins" w:cs="Poppins"/>
          <w:sz w:val="21"/>
          <w:szCs w:val="21"/>
          <w:shd w:val="clear" w:color="auto" w:fill="FFFFFF"/>
        </w:rPr>
        <w:t>.</w:t>
      </w:r>
    </w:p>
    <w:p w14:paraId="5ABC317B" w14:textId="2EB57478" w:rsidR="00BB142D" w:rsidRPr="00142A90" w:rsidRDefault="00BB142D" w:rsidP="00CA2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hAnsi="Poppins" w:cs="Poppins"/>
          <w:sz w:val="21"/>
          <w:szCs w:val="21"/>
          <w:shd w:val="clear" w:color="auto" w:fill="FFFFFF"/>
        </w:rPr>
      </w:pPr>
      <w:r w:rsidRPr="00142A90">
        <w:rPr>
          <w:rFonts w:ascii="Poppins" w:hAnsi="Poppins" w:cs="Poppins"/>
          <w:noProof/>
          <w:sz w:val="21"/>
          <w:szCs w:val="21"/>
          <w:shd w:val="clear" w:color="auto" w:fill="FFFFFF"/>
        </w:rPr>
        <w:drawing>
          <wp:inline distT="0" distB="0" distL="0" distR="0" wp14:anchorId="13B325C2" wp14:editId="0D6328AF">
            <wp:extent cx="5771692" cy="3195221"/>
            <wp:effectExtent l="0" t="0" r="635" b="5715"/>
            <wp:docPr id="1552803911" name="Obraz 4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03911" name="Obraz 4" descr="Obraz zawierający tekst, zrzut ekranu, Czcionka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92" cy="320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5089" w14:textId="259DA7F7" w:rsidR="00A66D55" w:rsidRPr="00142A90" w:rsidRDefault="0012008A" w:rsidP="009844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3232D"/>
          <w:sz w:val="21"/>
          <w:szCs w:val="21"/>
          <w:lang w:eastAsia="pl-PL"/>
        </w:rPr>
      </w:pPr>
      <w:r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Ze wstępnych danych sprzedażowych BIG DATA RynekPierwotny.pl wynika, że w </w:t>
      </w:r>
      <w:r w:rsidR="007604A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siedmiu </w:t>
      </w:r>
      <w:r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metropoliach deweloperzy zawarli </w:t>
      </w:r>
      <w:r w:rsidR="007604A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w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listopadzie </w:t>
      </w:r>
      <w:r w:rsidR="007604A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łącznie 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mniej </w:t>
      </w:r>
      <w:r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umów deweloperskich niż </w:t>
      </w:r>
      <w:r w:rsidR="007604AE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miesiąc wcześniej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. Jednak sytuacja w poszczególnych miastach była zróżnicowana</w:t>
      </w:r>
      <w:r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>.</w:t>
      </w:r>
      <w:r w:rsidR="00BB142D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 Prawdopodobnie większą sprzedażą mogą się pochwalić deweloperzy w </w:t>
      </w:r>
      <w:r w:rsidR="00DF6730" w:rsidRPr="00142A90">
        <w:rPr>
          <w:rFonts w:ascii="Poppins" w:eastAsia="Times New Roman" w:hAnsi="Poppins" w:cs="Poppins"/>
          <w:color w:val="23232D"/>
          <w:sz w:val="21"/>
          <w:szCs w:val="21"/>
          <w:lang w:eastAsia="pl-PL"/>
        </w:rPr>
        <w:t xml:space="preserve">Warszawie, Krakowie i Wrocławiu. </w:t>
      </w:r>
    </w:p>
    <w:p w14:paraId="6D681C9F" w14:textId="455052A0" w:rsidR="00120D40" w:rsidRDefault="00DF6730" w:rsidP="00DF6730">
      <w:pPr>
        <w:jc w:val="both"/>
        <w:rPr>
          <w:rFonts w:ascii="Poppins" w:eastAsia="Times New Roman" w:hAnsi="Poppins" w:cs="Poppins"/>
          <w:color w:val="23232D"/>
          <w:lang w:eastAsia="pl-PL"/>
        </w:rPr>
      </w:pPr>
      <w:r w:rsidRPr="00142A90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lastRenderedPageBreak/>
        <w:t>W tych metropoliach p</w:t>
      </w:r>
      <w:r w:rsidR="00A66D55" w:rsidRPr="00142A90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otencjalnych nabywców może zachęcać duży wybór mieszkań. </w:t>
      </w:r>
      <w:r w:rsidRPr="00142A90">
        <w:rPr>
          <w:rFonts w:ascii="Poppins" w:eastAsia="Times New Roman" w:hAnsi="Poppins" w:cs="Poppins"/>
          <w:i/>
          <w:iCs/>
          <w:color w:val="23232D"/>
          <w:sz w:val="21"/>
          <w:szCs w:val="21"/>
          <w:lang w:eastAsia="pl-PL"/>
        </w:rPr>
        <w:t xml:space="preserve">W stolicy w </w:t>
      </w:r>
      <w:r w:rsidRPr="00142A90">
        <w:rPr>
          <w:rFonts w:ascii="Poppins" w:hAnsi="Poppins" w:cs="Poppins"/>
          <w:i/>
          <w:iCs/>
          <w:sz w:val="21"/>
          <w:szCs w:val="21"/>
          <w:lang w:eastAsia="pl-PL"/>
        </w:rPr>
        <w:t>ofercie jest ich już prawie 15,7 tys. Coraz bliżej jest więc do rekordowego wyniku z maja 2019 r.  Wówczas warszawscy deweloperzy oferowali tylko o 500 lokali więcej</w:t>
      </w:r>
      <w:r w:rsidRPr="00142A90">
        <w:rPr>
          <w:rFonts w:ascii="Poppins" w:hAnsi="Poppins" w:cs="Poppins"/>
          <w:sz w:val="21"/>
          <w:szCs w:val="21"/>
          <w:lang w:eastAsia="pl-PL"/>
        </w:rPr>
        <w:t xml:space="preserve">  - komentuje Marek </w:t>
      </w:r>
      <w:proofErr w:type="spellStart"/>
      <w:r w:rsidRPr="00142A90">
        <w:rPr>
          <w:rFonts w:ascii="Poppins" w:hAnsi="Poppins" w:cs="Poppins"/>
          <w:sz w:val="21"/>
          <w:szCs w:val="21"/>
          <w:lang w:eastAsia="pl-PL"/>
        </w:rPr>
        <w:t>Wielgo</w:t>
      </w:r>
      <w:proofErr w:type="spellEnd"/>
      <w:r>
        <w:rPr>
          <w:rFonts w:ascii="Poppins" w:hAnsi="Poppins" w:cs="Poppins"/>
          <w:lang w:eastAsia="pl-PL"/>
        </w:rPr>
        <w:t xml:space="preserve">. </w:t>
      </w:r>
    </w:p>
    <w:sectPr w:rsidR="00120D40" w:rsidSect="000D1C3F">
      <w:headerReference w:type="default" r:id="rId11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9059" w14:textId="77777777" w:rsidR="000E0C17" w:rsidRDefault="000E0C17" w:rsidP="00E533BD">
      <w:pPr>
        <w:spacing w:after="0" w:line="240" w:lineRule="auto"/>
      </w:pPr>
      <w:r>
        <w:separator/>
      </w:r>
    </w:p>
  </w:endnote>
  <w:endnote w:type="continuationSeparator" w:id="0">
    <w:p w14:paraId="3CD198CA" w14:textId="77777777" w:rsidR="000E0C17" w:rsidRDefault="000E0C17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C878F" w14:textId="77777777" w:rsidR="000E0C17" w:rsidRDefault="000E0C17" w:rsidP="00E533BD">
      <w:pPr>
        <w:spacing w:after="0" w:line="240" w:lineRule="auto"/>
      </w:pPr>
      <w:r>
        <w:separator/>
      </w:r>
    </w:p>
  </w:footnote>
  <w:footnote w:type="continuationSeparator" w:id="0">
    <w:p w14:paraId="409C2FBE" w14:textId="77777777" w:rsidR="000E0C17" w:rsidRDefault="000E0C17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1909287718" name="Grafika 1909287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32F6"/>
    <w:multiLevelType w:val="hybridMultilevel"/>
    <w:tmpl w:val="8B5E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6B"/>
    <w:multiLevelType w:val="hybridMultilevel"/>
    <w:tmpl w:val="50A4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7B3"/>
    <w:multiLevelType w:val="hybridMultilevel"/>
    <w:tmpl w:val="B94E57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6AD3"/>
    <w:multiLevelType w:val="hybridMultilevel"/>
    <w:tmpl w:val="E5B6F8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4D1B"/>
    <w:multiLevelType w:val="hybridMultilevel"/>
    <w:tmpl w:val="7B48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262"/>
    <w:multiLevelType w:val="hybridMultilevel"/>
    <w:tmpl w:val="A9B64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50DA"/>
    <w:multiLevelType w:val="hybridMultilevel"/>
    <w:tmpl w:val="F6F6F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28B"/>
    <w:multiLevelType w:val="hybridMultilevel"/>
    <w:tmpl w:val="56B00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959DD"/>
    <w:multiLevelType w:val="hybridMultilevel"/>
    <w:tmpl w:val="78C46C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4B54"/>
    <w:multiLevelType w:val="hybridMultilevel"/>
    <w:tmpl w:val="58BC9F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55305">
    <w:abstractNumId w:val="4"/>
  </w:num>
  <w:num w:numId="2" w16cid:durableId="555049282">
    <w:abstractNumId w:val="0"/>
  </w:num>
  <w:num w:numId="3" w16cid:durableId="1982610543">
    <w:abstractNumId w:val="2"/>
  </w:num>
  <w:num w:numId="4" w16cid:durableId="1022822128">
    <w:abstractNumId w:val="1"/>
  </w:num>
  <w:num w:numId="5" w16cid:durableId="1641381131">
    <w:abstractNumId w:val="3"/>
  </w:num>
  <w:num w:numId="6" w16cid:durableId="1967351203">
    <w:abstractNumId w:val="5"/>
  </w:num>
  <w:num w:numId="7" w16cid:durableId="1589997633">
    <w:abstractNumId w:val="6"/>
  </w:num>
  <w:num w:numId="8" w16cid:durableId="1244800905">
    <w:abstractNumId w:val="8"/>
  </w:num>
  <w:num w:numId="9" w16cid:durableId="1512571355">
    <w:abstractNumId w:val="9"/>
  </w:num>
  <w:num w:numId="10" w16cid:durableId="1442261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61D9"/>
    <w:rsid w:val="000064B4"/>
    <w:rsid w:val="00007107"/>
    <w:rsid w:val="00010FEA"/>
    <w:rsid w:val="0001321E"/>
    <w:rsid w:val="00015274"/>
    <w:rsid w:val="00016290"/>
    <w:rsid w:val="000255B0"/>
    <w:rsid w:val="000311F2"/>
    <w:rsid w:val="00044139"/>
    <w:rsid w:val="00045687"/>
    <w:rsid w:val="00056E3E"/>
    <w:rsid w:val="00057F54"/>
    <w:rsid w:val="00064DEF"/>
    <w:rsid w:val="00070677"/>
    <w:rsid w:val="00075310"/>
    <w:rsid w:val="0007784C"/>
    <w:rsid w:val="00080FF6"/>
    <w:rsid w:val="00087149"/>
    <w:rsid w:val="000911B9"/>
    <w:rsid w:val="000A2552"/>
    <w:rsid w:val="000A2E75"/>
    <w:rsid w:val="000A6618"/>
    <w:rsid w:val="000B1FFE"/>
    <w:rsid w:val="000C1C14"/>
    <w:rsid w:val="000C2C30"/>
    <w:rsid w:val="000C43DB"/>
    <w:rsid w:val="000D1C3F"/>
    <w:rsid w:val="000D7339"/>
    <w:rsid w:val="000E0C17"/>
    <w:rsid w:val="000E427E"/>
    <w:rsid w:val="000F0B92"/>
    <w:rsid w:val="000F2327"/>
    <w:rsid w:val="000F2A84"/>
    <w:rsid w:val="000F546E"/>
    <w:rsid w:val="001003CF"/>
    <w:rsid w:val="00104340"/>
    <w:rsid w:val="00106C6C"/>
    <w:rsid w:val="0011170A"/>
    <w:rsid w:val="001175D2"/>
    <w:rsid w:val="0012008A"/>
    <w:rsid w:val="00120D40"/>
    <w:rsid w:val="0012484B"/>
    <w:rsid w:val="00130695"/>
    <w:rsid w:val="00142A90"/>
    <w:rsid w:val="001520CE"/>
    <w:rsid w:val="00156998"/>
    <w:rsid w:val="00157E64"/>
    <w:rsid w:val="00160B41"/>
    <w:rsid w:val="001703DA"/>
    <w:rsid w:val="0017068C"/>
    <w:rsid w:val="00171955"/>
    <w:rsid w:val="00176DE5"/>
    <w:rsid w:val="0017700B"/>
    <w:rsid w:val="001817C9"/>
    <w:rsid w:val="001828DA"/>
    <w:rsid w:val="00182A25"/>
    <w:rsid w:val="00182F7C"/>
    <w:rsid w:val="0018306C"/>
    <w:rsid w:val="0018447B"/>
    <w:rsid w:val="00186DA0"/>
    <w:rsid w:val="00193531"/>
    <w:rsid w:val="001941F3"/>
    <w:rsid w:val="00194693"/>
    <w:rsid w:val="001D7997"/>
    <w:rsid w:val="001E19C9"/>
    <w:rsid w:val="001E46F6"/>
    <w:rsid w:val="001E5DFD"/>
    <w:rsid w:val="00206C58"/>
    <w:rsid w:val="00207D8E"/>
    <w:rsid w:val="00212682"/>
    <w:rsid w:val="00212DDB"/>
    <w:rsid w:val="0022090C"/>
    <w:rsid w:val="00236BFB"/>
    <w:rsid w:val="00240AAA"/>
    <w:rsid w:val="0024504F"/>
    <w:rsid w:val="0025211A"/>
    <w:rsid w:val="0025393F"/>
    <w:rsid w:val="00253B29"/>
    <w:rsid w:val="002543AF"/>
    <w:rsid w:val="00254DE4"/>
    <w:rsid w:val="00261B5A"/>
    <w:rsid w:val="0027120F"/>
    <w:rsid w:val="00286BC4"/>
    <w:rsid w:val="00290153"/>
    <w:rsid w:val="00293F01"/>
    <w:rsid w:val="00294CCE"/>
    <w:rsid w:val="002A5C18"/>
    <w:rsid w:val="002C3A0A"/>
    <w:rsid w:val="002D244C"/>
    <w:rsid w:val="002D7839"/>
    <w:rsid w:val="002E6753"/>
    <w:rsid w:val="003007CB"/>
    <w:rsid w:val="0030376C"/>
    <w:rsid w:val="00303D09"/>
    <w:rsid w:val="00330D9D"/>
    <w:rsid w:val="00331728"/>
    <w:rsid w:val="00335ADE"/>
    <w:rsid w:val="003434DA"/>
    <w:rsid w:val="00362DF3"/>
    <w:rsid w:val="00367250"/>
    <w:rsid w:val="00367682"/>
    <w:rsid w:val="00377A19"/>
    <w:rsid w:val="00377A5C"/>
    <w:rsid w:val="00396407"/>
    <w:rsid w:val="00396A11"/>
    <w:rsid w:val="00397C40"/>
    <w:rsid w:val="003A0464"/>
    <w:rsid w:val="003A753E"/>
    <w:rsid w:val="003B4D48"/>
    <w:rsid w:val="003C1270"/>
    <w:rsid w:val="003C5F07"/>
    <w:rsid w:val="003C674A"/>
    <w:rsid w:val="003C74F0"/>
    <w:rsid w:val="003D28BE"/>
    <w:rsid w:val="003F4B89"/>
    <w:rsid w:val="003F4D95"/>
    <w:rsid w:val="004069F6"/>
    <w:rsid w:val="00410562"/>
    <w:rsid w:val="00411EB0"/>
    <w:rsid w:val="00414F41"/>
    <w:rsid w:val="0042351A"/>
    <w:rsid w:val="00424750"/>
    <w:rsid w:val="00430A77"/>
    <w:rsid w:val="00433EAC"/>
    <w:rsid w:val="00442968"/>
    <w:rsid w:val="00442EBD"/>
    <w:rsid w:val="0044468E"/>
    <w:rsid w:val="00445E56"/>
    <w:rsid w:val="0045420A"/>
    <w:rsid w:val="004647DF"/>
    <w:rsid w:val="004673C2"/>
    <w:rsid w:val="00470D4A"/>
    <w:rsid w:val="00473987"/>
    <w:rsid w:val="004B13A7"/>
    <w:rsid w:val="004B34BB"/>
    <w:rsid w:val="004B3C07"/>
    <w:rsid w:val="004C4395"/>
    <w:rsid w:val="004C5CC2"/>
    <w:rsid w:val="004D6F30"/>
    <w:rsid w:val="004E451E"/>
    <w:rsid w:val="004F791A"/>
    <w:rsid w:val="00504683"/>
    <w:rsid w:val="00504701"/>
    <w:rsid w:val="0050728D"/>
    <w:rsid w:val="00507867"/>
    <w:rsid w:val="00507B27"/>
    <w:rsid w:val="0051474C"/>
    <w:rsid w:val="0053121A"/>
    <w:rsid w:val="00531A1C"/>
    <w:rsid w:val="005329D7"/>
    <w:rsid w:val="00532B40"/>
    <w:rsid w:val="005409A4"/>
    <w:rsid w:val="005428ED"/>
    <w:rsid w:val="00545A40"/>
    <w:rsid w:val="00546023"/>
    <w:rsid w:val="005463BD"/>
    <w:rsid w:val="00563DA8"/>
    <w:rsid w:val="00565B3F"/>
    <w:rsid w:val="00571D71"/>
    <w:rsid w:val="005756AC"/>
    <w:rsid w:val="00583E9C"/>
    <w:rsid w:val="00584EF8"/>
    <w:rsid w:val="00595106"/>
    <w:rsid w:val="005A52CF"/>
    <w:rsid w:val="005B6EC7"/>
    <w:rsid w:val="005C2CA9"/>
    <w:rsid w:val="005D03E9"/>
    <w:rsid w:val="005D60E5"/>
    <w:rsid w:val="005D6829"/>
    <w:rsid w:val="005E0B6D"/>
    <w:rsid w:val="005E154B"/>
    <w:rsid w:val="005E3521"/>
    <w:rsid w:val="00606425"/>
    <w:rsid w:val="00610A0D"/>
    <w:rsid w:val="006170B5"/>
    <w:rsid w:val="00634812"/>
    <w:rsid w:val="00635282"/>
    <w:rsid w:val="00641650"/>
    <w:rsid w:val="00655E69"/>
    <w:rsid w:val="00656A92"/>
    <w:rsid w:val="0066231E"/>
    <w:rsid w:val="006644B0"/>
    <w:rsid w:val="00667839"/>
    <w:rsid w:val="00686E46"/>
    <w:rsid w:val="00686EF4"/>
    <w:rsid w:val="006914AC"/>
    <w:rsid w:val="00693D0A"/>
    <w:rsid w:val="006A6D7E"/>
    <w:rsid w:val="006B2F19"/>
    <w:rsid w:val="006C07E3"/>
    <w:rsid w:val="006C64C7"/>
    <w:rsid w:val="006C6EED"/>
    <w:rsid w:val="006C7246"/>
    <w:rsid w:val="006D1A53"/>
    <w:rsid w:val="006E144D"/>
    <w:rsid w:val="006E194D"/>
    <w:rsid w:val="006E467A"/>
    <w:rsid w:val="006E6F25"/>
    <w:rsid w:val="006F0A66"/>
    <w:rsid w:val="006F1831"/>
    <w:rsid w:val="006F2424"/>
    <w:rsid w:val="006F28DE"/>
    <w:rsid w:val="006F2CCA"/>
    <w:rsid w:val="006F5B6C"/>
    <w:rsid w:val="007016FC"/>
    <w:rsid w:val="00705C06"/>
    <w:rsid w:val="0071262C"/>
    <w:rsid w:val="007140E1"/>
    <w:rsid w:val="0071419C"/>
    <w:rsid w:val="00715488"/>
    <w:rsid w:val="00720322"/>
    <w:rsid w:val="007217C6"/>
    <w:rsid w:val="00722C59"/>
    <w:rsid w:val="00725402"/>
    <w:rsid w:val="00726A64"/>
    <w:rsid w:val="007407DA"/>
    <w:rsid w:val="00744A6F"/>
    <w:rsid w:val="007461EC"/>
    <w:rsid w:val="00747B78"/>
    <w:rsid w:val="007503A6"/>
    <w:rsid w:val="00751153"/>
    <w:rsid w:val="007604AE"/>
    <w:rsid w:val="007727AE"/>
    <w:rsid w:val="00774726"/>
    <w:rsid w:val="00776FBD"/>
    <w:rsid w:val="00782C3E"/>
    <w:rsid w:val="00793B7D"/>
    <w:rsid w:val="007A2161"/>
    <w:rsid w:val="007A2AED"/>
    <w:rsid w:val="007C0474"/>
    <w:rsid w:val="007C6EA0"/>
    <w:rsid w:val="007C7E18"/>
    <w:rsid w:val="007D6E82"/>
    <w:rsid w:val="007E0371"/>
    <w:rsid w:val="007E0BB9"/>
    <w:rsid w:val="007E10C0"/>
    <w:rsid w:val="007E3768"/>
    <w:rsid w:val="007E46B1"/>
    <w:rsid w:val="007F16BC"/>
    <w:rsid w:val="007F2ADF"/>
    <w:rsid w:val="007F3FFA"/>
    <w:rsid w:val="00801EEA"/>
    <w:rsid w:val="00804614"/>
    <w:rsid w:val="00805026"/>
    <w:rsid w:val="00825AD9"/>
    <w:rsid w:val="00836B91"/>
    <w:rsid w:val="00843CC7"/>
    <w:rsid w:val="008564CE"/>
    <w:rsid w:val="0085716C"/>
    <w:rsid w:val="00864469"/>
    <w:rsid w:val="00871168"/>
    <w:rsid w:val="00871747"/>
    <w:rsid w:val="00881AA6"/>
    <w:rsid w:val="00884A9A"/>
    <w:rsid w:val="00892A7C"/>
    <w:rsid w:val="008A0725"/>
    <w:rsid w:val="008A0FDF"/>
    <w:rsid w:val="008A109B"/>
    <w:rsid w:val="008A1559"/>
    <w:rsid w:val="008A7207"/>
    <w:rsid w:val="008B5BDC"/>
    <w:rsid w:val="008C004E"/>
    <w:rsid w:val="008C4684"/>
    <w:rsid w:val="008C55BD"/>
    <w:rsid w:val="008D2313"/>
    <w:rsid w:val="008E239F"/>
    <w:rsid w:val="008E3F84"/>
    <w:rsid w:val="008F0447"/>
    <w:rsid w:val="008F7B1C"/>
    <w:rsid w:val="009032D8"/>
    <w:rsid w:val="00905B12"/>
    <w:rsid w:val="0091278B"/>
    <w:rsid w:val="009232E8"/>
    <w:rsid w:val="00931E5A"/>
    <w:rsid w:val="0093613E"/>
    <w:rsid w:val="00937CE1"/>
    <w:rsid w:val="00944E9D"/>
    <w:rsid w:val="00945877"/>
    <w:rsid w:val="00945F4F"/>
    <w:rsid w:val="00951495"/>
    <w:rsid w:val="00960BB4"/>
    <w:rsid w:val="00961FD0"/>
    <w:rsid w:val="00962040"/>
    <w:rsid w:val="00964FBC"/>
    <w:rsid w:val="00965523"/>
    <w:rsid w:val="00967D21"/>
    <w:rsid w:val="00970819"/>
    <w:rsid w:val="009809A4"/>
    <w:rsid w:val="00981059"/>
    <w:rsid w:val="009844D1"/>
    <w:rsid w:val="00990AA6"/>
    <w:rsid w:val="009A324B"/>
    <w:rsid w:val="009A3D85"/>
    <w:rsid w:val="009A4AA4"/>
    <w:rsid w:val="009A55A3"/>
    <w:rsid w:val="009A5BD7"/>
    <w:rsid w:val="009C0376"/>
    <w:rsid w:val="009C2310"/>
    <w:rsid w:val="009C234B"/>
    <w:rsid w:val="009D452D"/>
    <w:rsid w:val="009E01D9"/>
    <w:rsid w:val="009E241E"/>
    <w:rsid w:val="009E428A"/>
    <w:rsid w:val="009E7039"/>
    <w:rsid w:val="00A0126E"/>
    <w:rsid w:val="00A048B6"/>
    <w:rsid w:val="00A05029"/>
    <w:rsid w:val="00A17286"/>
    <w:rsid w:val="00A17D1B"/>
    <w:rsid w:val="00A22BCB"/>
    <w:rsid w:val="00A24093"/>
    <w:rsid w:val="00A43266"/>
    <w:rsid w:val="00A478CB"/>
    <w:rsid w:val="00A51869"/>
    <w:rsid w:val="00A547BE"/>
    <w:rsid w:val="00A61B43"/>
    <w:rsid w:val="00A64C0A"/>
    <w:rsid w:val="00A66D55"/>
    <w:rsid w:val="00A67ABA"/>
    <w:rsid w:val="00A81BE6"/>
    <w:rsid w:val="00A90FB0"/>
    <w:rsid w:val="00A924CC"/>
    <w:rsid w:val="00AA5758"/>
    <w:rsid w:val="00AB702B"/>
    <w:rsid w:val="00AC69E1"/>
    <w:rsid w:val="00AF5B18"/>
    <w:rsid w:val="00AF6C7F"/>
    <w:rsid w:val="00B115A1"/>
    <w:rsid w:val="00B141B2"/>
    <w:rsid w:val="00B15F6C"/>
    <w:rsid w:val="00B17438"/>
    <w:rsid w:val="00B17444"/>
    <w:rsid w:val="00B238FA"/>
    <w:rsid w:val="00B24C21"/>
    <w:rsid w:val="00B33F85"/>
    <w:rsid w:val="00B357EC"/>
    <w:rsid w:val="00B41266"/>
    <w:rsid w:val="00B420E5"/>
    <w:rsid w:val="00B42848"/>
    <w:rsid w:val="00B430F1"/>
    <w:rsid w:val="00B46BF2"/>
    <w:rsid w:val="00B52215"/>
    <w:rsid w:val="00B528F9"/>
    <w:rsid w:val="00B5353F"/>
    <w:rsid w:val="00B56DBE"/>
    <w:rsid w:val="00B6280B"/>
    <w:rsid w:val="00B6641D"/>
    <w:rsid w:val="00B675F4"/>
    <w:rsid w:val="00B7728E"/>
    <w:rsid w:val="00B816B2"/>
    <w:rsid w:val="00B90C5F"/>
    <w:rsid w:val="00BA0C8F"/>
    <w:rsid w:val="00BA48E5"/>
    <w:rsid w:val="00BA4AE2"/>
    <w:rsid w:val="00BA5DA4"/>
    <w:rsid w:val="00BB142D"/>
    <w:rsid w:val="00BB2701"/>
    <w:rsid w:val="00BB39CE"/>
    <w:rsid w:val="00BC0CC0"/>
    <w:rsid w:val="00BC64E8"/>
    <w:rsid w:val="00BD33FF"/>
    <w:rsid w:val="00BE27DB"/>
    <w:rsid w:val="00BE548A"/>
    <w:rsid w:val="00BF21C7"/>
    <w:rsid w:val="00BF285E"/>
    <w:rsid w:val="00BF2F46"/>
    <w:rsid w:val="00BF3B08"/>
    <w:rsid w:val="00BF430F"/>
    <w:rsid w:val="00C01224"/>
    <w:rsid w:val="00C05921"/>
    <w:rsid w:val="00C10188"/>
    <w:rsid w:val="00C12248"/>
    <w:rsid w:val="00C244E4"/>
    <w:rsid w:val="00C35B7E"/>
    <w:rsid w:val="00C50A12"/>
    <w:rsid w:val="00C5125A"/>
    <w:rsid w:val="00C73133"/>
    <w:rsid w:val="00C73FD2"/>
    <w:rsid w:val="00C84F8D"/>
    <w:rsid w:val="00C929AE"/>
    <w:rsid w:val="00C940D0"/>
    <w:rsid w:val="00CA107D"/>
    <w:rsid w:val="00CA2658"/>
    <w:rsid w:val="00CA2956"/>
    <w:rsid w:val="00CA33AD"/>
    <w:rsid w:val="00CA47CA"/>
    <w:rsid w:val="00CB1B68"/>
    <w:rsid w:val="00CB7C00"/>
    <w:rsid w:val="00CC5797"/>
    <w:rsid w:val="00CD15B5"/>
    <w:rsid w:val="00CF036B"/>
    <w:rsid w:val="00CF2699"/>
    <w:rsid w:val="00CF2FD5"/>
    <w:rsid w:val="00D059DB"/>
    <w:rsid w:val="00D061AE"/>
    <w:rsid w:val="00D1044B"/>
    <w:rsid w:val="00D21193"/>
    <w:rsid w:val="00D27B6F"/>
    <w:rsid w:val="00D3042F"/>
    <w:rsid w:val="00D320B2"/>
    <w:rsid w:val="00D404CA"/>
    <w:rsid w:val="00D455CB"/>
    <w:rsid w:val="00D546D9"/>
    <w:rsid w:val="00D54E03"/>
    <w:rsid w:val="00D56734"/>
    <w:rsid w:val="00D56A8C"/>
    <w:rsid w:val="00D61549"/>
    <w:rsid w:val="00D70C61"/>
    <w:rsid w:val="00D72B55"/>
    <w:rsid w:val="00D75392"/>
    <w:rsid w:val="00D755E0"/>
    <w:rsid w:val="00D77127"/>
    <w:rsid w:val="00DA0E39"/>
    <w:rsid w:val="00DA494D"/>
    <w:rsid w:val="00DA72F4"/>
    <w:rsid w:val="00DA75D1"/>
    <w:rsid w:val="00DA7D8F"/>
    <w:rsid w:val="00DB175C"/>
    <w:rsid w:val="00DB22D0"/>
    <w:rsid w:val="00DB5710"/>
    <w:rsid w:val="00DB60A0"/>
    <w:rsid w:val="00DB6659"/>
    <w:rsid w:val="00DB6718"/>
    <w:rsid w:val="00DC1870"/>
    <w:rsid w:val="00DC3442"/>
    <w:rsid w:val="00DC4491"/>
    <w:rsid w:val="00DC77CB"/>
    <w:rsid w:val="00DD6A44"/>
    <w:rsid w:val="00DE2E1D"/>
    <w:rsid w:val="00DE56B9"/>
    <w:rsid w:val="00DF6730"/>
    <w:rsid w:val="00E13551"/>
    <w:rsid w:val="00E20436"/>
    <w:rsid w:val="00E252B1"/>
    <w:rsid w:val="00E25AAC"/>
    <w:rsid w:val="00E3093D"/>
    <w:rsid w:val="00E32A58"/>
    <w:rsid w:val="00E32F03"/>
    <w:rsid w:val="00E3719E"/>
    <w:rsid w:val="00E440F2"/>
    <w:rsid w:val="00E533BD"/>
    <w:rsid w:val="00E55E92"/>
    <w:rsid w:val="00E716EF"/>
    <w:rsid w:val="00E72209"/>
    <w:rsid w:val="00E73303"/>
    <w:rsid w:val="00E80F52"/>
    <w:rsid w:val="00E84E26"/>
    <w:rsid w:val="00E90ECC"/>
    <w:rsid w:val="00EA1034"/>
    <w:rsid w:val="00EA140F"/>
    <w:rsid w:val="00EA18AB"/>
    <w:rsid w:val="00EA269B"/>
    <w:rsid w:val="00EA316E"/>
    <w:rsid w:val="00EA3946"/>
    <w:rsid w:val="00EA5612"/>
    <w:rsid w:val="00EA6B8B"/>
    <w:rsid w:val="00EB0AD3"/>
    <w:rsid w:val="00EC10B9"/>
    <w:rsid w:val="00ED61B2"/>
    <w:rsid w:val="00ED6CE9"/>
    <w:rsid w:val="00EF0383"/>
    <w:rsid w:val="00F009B8"/>
    <w:rsid w:val="00F05206"/>
    <w:rsid w:val="00F06678"/>
    <w:rsid w:val="00F07241"/>
    <w:rsid w:val="00F17553"/>
    <w:rsid w:val="00F21411"/>
    <w:rsid w:val="00F2311C"/>
    <w:rsid w:val="00F27BE9"/>
    <w:rsid w:val="00F27DDC"/>
    <w:rsid w:val="00F32849"/>
    <w:rsid w:val="00F342C3"/>
    <w:rsid w:val="00F52BC1"/>
    <w:rsid w:val="00F548A5"/>
    <w:rsid w:val="00F56C7E"/>
    <w:rsid w:val="00F60C6C"/>
    <w:rsid w:val="00F6547E"/>
    <w:rsid w:val="00F72030"/>
    <w:rsid w:val="00F75FE9"/>
    <w:rsid w:val="00F90A18"/>
    <w:rsid w:val="00F94C5A"/>
    <w:rsid w:val="00F9538E"/>
    <w:rsid w:val="00F95822"/>
    <w:rsid w:val="00F96D36"/>
    <w:rsid w:val="00FA42CC"/>
    <w:rsid w:val="00FB1774"/>
    <w:rsid w:val="00FB40F8"/>
    <w:rsid w:val="00FB7A20"/>
    <w:rsid w:val="00FC3770"/>
    <w:rsid w:val="00FC42A6"/>
    <w:rsid w:val="00FC55EE"/>
    <w:rsid w:val="00FC6E67"/>
    <w:rsid w:val="00FD5C22"/>
    <w:rsid w:val="00FE4A9A"/>
    <w:rsid w:val="00FF1AE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chartTrackingRefBased/>
  <w15:docId w15:val="{F36E7F9C-64BC-455F-93AF-CCB032D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NormalnyWeb">
    <w:name w:val="Normal (Web)"/>
    <w:basedOn w:val="Normalny"/>
    <w:uiPriority w:val="99"/>
    <w:unhideWhenUsed/>
    <w:rsid w:val="002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0F"/>
    <w:rPr>
      <w:color w:val="0000FF"/>
      <w:u w:val="single"/>
    </w:rPr>
  </w:style>
  <w:style w:type="character" w:customStyle="1" w:styleId="hgkelc">
    <w:name w:val="hgkelc"/>
    <w:basedOn w:val="Domylnaczcionkaakapitu"/>
    <w:rsid w:val="00E3719E"/>
  </w:style>
  <w:style w:type="character" w:styleId="Pogrubienie">
    <w:name w:val="Strong"/>
    <w:basedOn w:val="Domylnaczcionkaakapitu"/>
    <w:uiPriority w:val="22"/>
    <w:qFormat/>
    <w:rsid w:val="004C4395"/>
    <w:rPr>
      <w:b/>
      <w:bCs/>
    </w:rPr>
  </w:style>
  <w:style w:type="paragraph" w:styleId="Bezodstpw">
    <w:name w:val="No Spacing"/>
    <w:uiPriority w:val="1"/>
    <w:qFormat/>
    <w:rsid w:val="00F27BE9"/>
    <w:pPr>
      <w:spacing w:after="0" w:line="240" w:lineRule="auto"/>
    </w:pPr>
  </w:style>
  <w:style w:type="paragraph" w:customStyle="1" w:styleId="Textbody">
    <w:name w:val="Text body"/>
    <w:basedOn w:val="Normalny"/>
    <w:rsid w:val="00571D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75392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0E427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647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ustom-1oer2oc">
    <w:name w:val="custom-1oer2oc"/>
    <w:basedOn w:val="Normalny"/>
    <w:rsid w:val="0046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B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B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B7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149</cp:revision>
  <cp:lastPrinted>2023-07-05T08:38:00Z</cp:lastPrinted>
  <dcterms:created xsi:type="dcterms:W3CDTF">2023-08-01T11:21:00Z</dcterms:created>
  <dcterms:modified xsi:type="dcterms:W3CDTF">2024-12-02T11:11:00Z</dcterms:modified>
</cp:coreProperties>
</file>